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BB" w:rsidRDefault="000F64BB" w:rsidP="000F64BB">
      <w:pPr>
        <w:spacing w:after="0"/>
        <w:rPr>
          <w:rFonts w:ascii="Arial" w:hAnsi="Arial" w:cs="Arial"/>
          <w:b/>
          <w:bCs/>
        </w:rPr>
      </w:pPr>
    </w:p>
    <w:p w:rsidR="000F64BB" w:rsidRDefault="000F64BB" w:rsidP="000F64BB">
      <w:pPr>
        <w:widowControl w:val="0"/>
        <w:spacing w:after="0" w:line="240" w:lineRule="auto"/>
        <w:jc w:val="center"/>
        <w:outlineLvl w:val="0"/>
        <w:rPr>
          <w:rFonts w:ascii="Arial" w:eastAsia="Times New Roman" w:hAnsi="Arial" w:cs="Arial"/>
          <w:b/>
          <w:bCs/>
          <w:spacing w:val="40"/>
          <w:sz w:val="36"/>
          <w:szCs w:val="36"/>
          <w:lang w:eastAsia="ru-RU"/>
        </w:rPr>
      </w:pPr>
      <w:r>
        <w:rPr>
          <w:rFonts w:ascii="Arial" w:eastAsia="Times New Roman" w:hAnsi="Arial" w:cs="Arial"/>
          <w:b/>
          <w:bCs/>
          <w:spacing w:val="40"/>
          <w:sz w:val="36"/>
          <w:szCs w:val="36"/>
          <w:lang w:eastAsia="ru-RU"/>
        </w:rPr>
        <w:t xml:space="preserve">Администрация </w:t>
      </w:r>
      <w:r w:rsidR="003106B1">
        <w:rPr>
          <w:rFonts w:ascii="Arial" w:eastAsia="Times New Roman" w:hAnsi="Arial" w:cs="Arial"/>
          <w:b/>
          <w:bCs/>
          <w:spacing w:val="40"/>
          <w:sz w:val="36"/>
          <w:szCs w:val="36"/>
          <w:lang w:eastAsia="ru-RU"/>
        </w:rPr>
        <w:t>Ягоднинского</w:t>
      </w:r>
      <w:r>
        <w:rPr>
          <w:rFonts w:ascii="Arial" w:eastAsia="Times New Roman" w:hAnsi="Arial" w:cs="Arial"/>
          <w:b/>
          <w:bCs/>
          <w:spacing w:val="40"/>
          <w:sz w:val="36"/>
          <w:szCs w:val="36"/>
          <w:lang w:eastAsia="ru-RU"/>
        </w:rPr>
        <w:t xml:space="preserve"> сельского поселения</w:t>
      </w:r>
    </w:p>
    <w:p w:rsidR="000F64BB" w:rsidRDefault="000F64BB" w:rsidP="000F64BB">
      <w:pPr>
        <w:widowControl w:val="0"/>
        <w:spacing w:before="120" w:after="120" w:line="240" w:lineRule="auto"/>
        <w:jc w:val="center"/>
        <w:rPr>
          <w:rFonts w:ascii="Arial" w:eastAsia="Times New Roman" w:hAnsi="Arial" w:cs="Arial"/>
          <w:b/>
          <w:bCs/>
          <w:spacing w:val="30"/>
          <w:sz w:val="36"/>
          <w:szCs w:val="36"/>
          <w:lang w:eastAsia="ru-RU"/>
        </w:rPr>
      </w:pPr>
      <w:r>
        <w:rPr>
          <w:rFonts w:ascii="Arial" w:eastAsia="Times New Roman" w:hAnsi="Arial" w:cs="Arial"/>
          <w:b/>
          <w:bCs/>
          <w:spacing w:val="30"/>
          <w:sz w:val="36"/>
          <w:szCs w:val="36"/>
          <w:lang w:eastAsia="ru-RU"/>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0F64BB" w:rsidTr="000F64BB">
        <w:tc>
          <w:tcPr>
            <w:tcW w:w="3697" w:type="dxa"/>
            <w:hideMark/>
          </w:tcPr>
          <w:p w:rsidR="000F64BB" w:rsidRDefault="00571DCF">
            <w:pPr>
              <w:widowControl w:val="0"/>
              <w:spacing w:after="0" w:line="276" w:lineRule="auto"/>
              <w:rPr>
                <w:rFonts w:ascii="Arial" w:eastAsia="Times New Roman" w:hAnsi="Arial" w:cs="Arial"/>
                <w:bCs/>
                <w:sz w:val="24"/>
                <w:szCs w:val="24"/>
              </w:rPr>
            </w:pPr>
            <w:r>
              <w:rPr>
                <w:rFonts w:ascii="Arial" w:eastAsia="Times New Roman" w:hAnsi="Arial" w:cs="Arial"/>
                <w:bCs/>
                <w:sz w:val="24"/>
                <w:szCs w:val="24"/>
              </w:rPr>
              <w:t xml:space="preserve">      «29» апреля</w:t>
            </w:r>
            <w:r w:rsidR="000F64BB">
              <w:rPr>
                <w:rFonts w:ascii="Arial" w:eastAsia="Times New Roman" w:hAnsi="Arial" w:cs="Arial"/>
                <w:bCs/>
                <w:sz w:val="24"/>
                <w:szCs w:val="24"/>
              </w:rPr>
              <w:t xml:space="preserve"> 2019 г.</w:t>
            </w:r>
          </w:p>
        </w:tc>
        <w:tc>
          <w:tcPr>
            <w:tcW w:w="2211" w:type="dxa"/>
            <w:hideMark/>
          </w:tcPr>
          <w:p w:rsidR="000F64BB" w:rsidRDefault="000F64BB">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xml:space="preserve">п. Ягодное </w:t>
            </w:r>
          </w:p>
          <w:p w:rsidR="000F64BB" w:rsidRDefault="000F64BB">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Верхнекетского района</w:t>
            </w:r>
          </w:p>
          <w:p w:rsidR="000F64BB" w:rsidRDefault="000F64BB">
            <w:pPr>
              <w:widowControl w:val="0"/>
              <w:spacing w:after="0" w:line="276" w:lineRule="auto"/>
              <w:jc w:val="center"/>
              <w:rPr>
                <w:rFonts w:ascii="Arial" w:eastAsia="Times New Roman" w:hAnsi="Arial" w:cs="Arial"/>
                <w:sz w:val="2"/>
                <w:szCs w:val="2"/>
              </w:rPr>
            </w:pPr>
            <w:r>
              <w:rPr>
                <w:rFonts w:ascii="Arial" w:eastAsia="Times New Roman" w:hAnsi="Arial" w:cs="Arial"/>
                <w:sz w:val="2"/>
                <w:szCs w:val="2"/>
              </w:rPr>
              <w:t xml:space="preserve"> </w:t>
            </w:r>
            <w:r>
              <w:rPr>
                <w:rFonts w:ascii="Arial" w:eastAsia="Times New Roman" w:hAnsi="Arial" w:cs="Arial"/>
                <w:sz w:val="20"/>
                <w:szCs w:val="20"/>
              </w:rPr>
              <w:t>Томской области</w:t>
            </w:r>
          </w:p>
        </w:tc>
        <w:tc>
          <w:tcPr>
            <w:tcW w:w="3448" w:type="dxa"/>
            <w:hideMark/>
          </w:tcPr>
          <w:p w:rsidR="000F64BB" w:rsidRDefault="00571DCF">
            <w:pPr>
              <w:widowControl w:val="0"/>
              <w:spacing w:after="0" w:line="276" w:lineRule="auto"/>
              <w:ind w:right="57"/>
              <w:jc w:val="right"/>
              <w:rPr>
                <w:rFonts w:ascii="Arial" w:eastAsia="Times New Roman" w:hAnsi="Arial" w:cs="Arial"/>
                <w:bCs/>
                <w:sz w:val="24"/>
                <w:szCs w:val="24"/>
              </w:rPr>
            </w:pPr>
            <w:r>
              <w:rPr>
                <w:rFonts w:ascii="Arial" w:eastAsia="Times New Roman" w:hAnsi="Arial" w:cs="Arial"/>
                <w:bCs/>
                <w:sz w:val="24"/>
                <w:szCs w:val="24"/>
              </w:rPr>
              <w:t xml:space="preserve">                № 35</w:t>
            </w:r>
            <w:r w:rsidR="000F64BB">
              <w:rPr>
                <w:rFonts w:ascii="Arial" w:eastAsia="Times New Roman" w:hAnsi="Arial" w:cs="Arial"/>
                <w:bCs/>
                <w:sz w:val="24"/>
                <w:szCs w:val="24"/>
              </w:rPr>
              <w:t xml:space="preserve"> </w:t>
            </w:r>
          </w:p>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3106B1">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0F64BB">
        <w:rPr>
          <w:rFonts w:ascii="Arial" w:hAnsi="Arial" w:cs="Arial"/>
          <w:sz w:val="24"/>
          <w:szCs w:val="24"/>
        </w:rPr>
        <w:t>16.11.2010 №63</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3106B1">
        <w:rPr>
          <w:rFonts w:ascii="Arial" w:hAnsi="Arial" w:cs="Arial"/>
          <w:sz w:val="24"/>
          <w:szCs w:val="24"/>
        </w:rPr>
        <w:t>Ягоднинское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3106B1">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0F64BB">
        <w:rPr>
          <w:rFonts w:ascii="Arial" w:hAnsi="Arial" w:cs="Arial"/>
          <w:sz w:val="24"/>
          <w:szCs w:val="24"/>
        </w:rPr>
        <w:t xml:space="preserve">18.08.2015 №37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3106B1">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3106B1">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0F64BB" w:rsidRDefault="000F64BB" w:rsidP="006B225D">
      <w:pPr>
        <w:tabs>
          <w:tab w:val="left" w:pos="-2552"/>
        </w:tabs>
        <w:spacing w:after="0"/>
        <w:jc w:val="both"/>
        <w:rPr>
          <w:rFonts w:ascii="Arial" w:hAnsi="Arial"/>
          <w:sz w:val="24"/>
        </w:rPr>
      </w:pPr>
      <w:r>
        <w:rPr>
          <w:rFonts w:ascii="Arial" w:hAnsi="Arial"/>
          <w:sz w:val="24"/>
        </w:rPr>
        <w:t>И.</w:t>
      </w:r>
      <w:r w:rsidR="00A307D5">
        <w:rPr>
          <w:rFonts w:ascii="Arial" w:hAnsi="Arial"/>
          <w:sz w:val="24"/>
        </w:rPr>
        <w:t xml:space="preserve"> </w:t>
      </w:r>
      <w:r>
        <w:rPr>
          <w:rFonts w:ascii="Arial" w:hAnsi="Arial"/>
          <w:sz w:val="24"/>
        </w:rPr>
        <w:t>о. Главы</w:t>
      </w:r>
      <w:r w:rsidR="006B225D">
        <w:rPr>
          <w:rFonts w:ascii="Arial" w:hAnsi="Arial"/>
          <w:sz w:val="24"/>
        </w:rPr>
        <w:t xml:space="preserve"> </w:t>
      </w:r>
      <w:r w:rsidR="003106B1">
        <w:rPr>
          <w:rFonts w:ascii="Arial" w:hAnsi="Arial"/>
          <w:sz w:val="24"/>
        </w:rPr>
        <w:t>Ягоднинского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 сельского поселения </w:t>
      </w:r>
      <w:r>
        <w:rPr>
          <w:rFonts w:ascii="Arial" w:hAnsi="Arial"/>
          <w:sz w:val="24"/>
        </w:rPr>
        <w:t xml:space="preserve">                    </w:t>
      </w:r>
      <w:r w:rsidR="000F64BB">
        <w:rPr>
          <w:rFonts w:ascii="Arial" w:hAnsi="Arial"/>
          <w:sz w:val="24"/>
        </w:rPr>
        <w:t xml:space="preserve">                                            Е.Б. Врублевская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0F64BB" w:rsidRDefault="009D17FE" w:rsidP="000F64BB">
      <w:pPr>
        <w:rPr>
          <w:rFonts w:ascii="Arial" w:hAnsi="Arial" w:cs="Arial"/>
          <w:sz w:val="24"/>
          <w:szCs w:val="24"/>
        </w:rPr>
      </w:pPr>
      <w:r w:rsidRPr="004D4801">
        <w:rPr>
          <w:rFonts w:ascii="Arial" w:hAnsi="Arial" w:cs="Arial"/>
          <w:sz w:val="24"/>
          <w:szCs w:val="24"/>
        </w:rPr>
        <w:t xml:space="preserve"> </w:t>
      </w:r>
    </w:p>
    <w:p w:rsidR="00912857" w:rsidRPr="00C7015D" w:rsidRDefault="000F64BB" w:rsidP="000F64BB">
      <w:pPr>
        <w:rPr>
          <w:rFonts w:ascii="Arial" w:hAnsi="Arial" w:cs="Arial"/>
          <w:sz w:val="24"/>
          <w:szCs w:val="24"/>
        </w:rPr>
      </w:pPr>
      <w:r>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3106B1">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571DCF">
        <w:rPr>
          <w:rFonts w:ascii="Arial" w:hAnsi="Arial" w:cs="Arial"/>
          <w:sz w:val="24"/>
          <w:szCs w:val="24"/>
        </w:rPr>
        <w:t xml:space="preserve">«29» апреля </w:t>
      </w:r>
      <w:r w:rsidR="00C83F9E">
        <w:rPr>
          <w:rFonts w:ascii="Arial" w:hAnsi="Arial" w:cs="Arial"/>
          <w:sz w:val="24"/>
          <w:szCs w:val="24"/>
        </w:rPr>
        <w:t>2019</w:t>
      </w:r>
      <w:r w:rsidRPr="004B7F08">
        <w:rPr>
          <w:rFonts w:ascii="Arial" w:hAnsi="Arial" w:cs="Arial"/>
          <w:sz w:val="24"/>
          <w:szCs w:val="24"/>
        </w:rPr>
        <w:t xml:space="preserve"> №</w:t>
      </w:r>
      <w:r w:rsidR="00571DCF">
        <w:rPr>
          <w:rFonts w:ascii="Arial" w:hAnsi="Arial" w:cs="Arial"/>
          <w:sz w:val="24"/>
          <w:szCs w:val="24"/>
        </w:rPr>
        <w:t>35</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106B1">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3106B1">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0F64BB">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3106B1">
        <w:rPr>
          <w:rFonts w:ascii="Arial" w:hAnsi="Arial" w:cs="Arial"/>
          <w:sz w:val="24"/>
          <w:szCs w:val="24"/>
          <w:lang w:eastAsia="ar-SA"/>
        </w:rPr>
        <w:t>Ягоднинское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w:t>
      </w:r>
      <w:r w:rsidR="00325BFE" w:rsidRPr="00913A4F">
        <w:rPr>
          <w:rFonts w:ascii="Arial" w:hAnsi="Arial" w:cs="Arial"/>
          <w:sz w:val="24"/>
          <w:szCs w:val="24"/>
        </w:rPr>
        <w:lastRenderedPageBreak/>
        <w:t>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3106B1">
        <w:rPr>
          <w:rFonts w:ascii="Arial" w:hAnsi="Arial" w:cs="Arial"/>
          <w:sz w:val="24"/>
          <w:szCs w:val="24"/>
          <w:lang w:eastAsia="ar-SA"/>
        </w:rPr>
        <w:t>Ягоднинского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3106B1">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0F64BB">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0F64BB">
        <w:rPr>
          <w:rFonts w:ascii="Arial" w:hAnsi="Arial" w:cs="Arial"/>
          <w:bCs/>
          <w:sz w:val="24"/>
          <w:szCs w:val="24"/>
        </w:rPr>
        <w:t>Ягодное</w:t>
      </w:r>
      <w:r w:rsidRPr="00C73176">
        <w:rPr>
          <w:rFonts w:ascii="Arial" w:hAnsi="Arial" w:cs="Arial"/>
          <w:bCs/>
          <w:sz w:val="24"/>
          <w:szCs w:val="24"/>
        </w:rPr>
        <w:t xml:space="preserve">, ул. </w:t>
      </w:r>
      <w:r w:rsidR="000F64BB">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3106B1">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0F64BB" w:rsidRDefault="009D3511" w:rsidP="009D3511">
            <w:pPr>
              <w:spacing w:after="0" w:line="240" w:lineRule="auto"/>
              <w:jc w:val="both"/>
              <w:rPr>
                <w:rFonts w:ascii="Arial" w:hAnsi="Arial" w:cs="Arial"/>
                <w:sz w:val="24"/>
                <w:szCs w:val="24"/>
              </w:rPr>
            </w:pPr>
            <w:r w:rsidRPr="000F64BB">
              <w:rPr>
                <w:rFonts w:ascii="Arial" w:hAnsi="Arial" w:cs="Arial"/>
                <w:sz w:val="24"/>
                <w:szCs w:val="24"/>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0F64BB">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3106B1">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0F64BB">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3106B1">
        <w:rPr>
          <w:rFonts w:ascii="Arial" w:hAnsi="Arial" w:cs="Arial"/>
          <w:sz w:val="24"/>
          <w:szCs w:val="24"/>
        </w:rPr>
        <w:t>Ягоднинского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3106B1">
        <w:rPr>
          <w:rFonts w:ascii="Arial" w:hAnsi="Arial" w:cs="Arial"/>
          <w:sz w:val="24"/>
          <w:szCs w:val="24"/>
        </w:rPr>
        <w:t>Ягоднинского</w:t>
      </w:r>
      <w:r w:rsidR="00E0058A" w:rsidRPr="006874C8">
        <w:rPr>
          <w:rFonts w:ascii="Arial" w:hAnsi="Arial" w:cs="Arial"/>
          <w:sz w:val="24"/>
          <w:szCs w:val="24"/>
        </w:rPr>
        <w:t xml:space="preserve"> сельского поселения от </w:t>
      </w:r>
      <w:r w:rsidR="000F64BB">
        <w:rPr>
          <w:rFonts w:ascii="Arial" w:hAnsi="Arial" w:cs="Arial"/>
          <w:sz w:val="24"/>
          <w:szCs w:val="24"/>
        </w:rPr>
        <w:t xml:space="preserve">18.08.2015 №37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3106B1">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w:t>
      </w:r>
      <w:r w:rsidRPr="004B10AD">
        <w:rPr>
          <w:rFonts w:ascii="Arial" w:hAnsi="Arial" w:cs="Arial"/>
          <w:sz w:val="24"/>
          <w:szCs w:val="24"/>
        </w:rPr>
        <w:lastRenderedPageBreak/>
        <w:t>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xml:space="preserve">) справка на Заявителя и всех членов его семьи о наличии (отсутствии) жилых помещений, дач, гаражей, иных строений, помещений и сооружений, </w:t>
      </w:r>
      <w:r w:rsidR="004138B7" w:rsidRPr="004B10AD">
        <w:rPr>
          <w:rFonts w:ascii="Arial" w:hAnsi="Arial" w:cs="Arial"/>
          <w:sz w:val="24"/>
          <w:szCs w:val="24"/>
        </w:rPr>
        <w:lastRenderedPageBreak/>
        <w:t>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3106B1">
        <w:rPr>
          <w:rFonts w:eastAsiaTheme="minorHAnsi"/>
          <w:sz w:val="24"/>
          <w:szCs w:val="24"/>
          <w:lang w:eastAsia="en-US"/>
        </w:rPr>
        <w:t>Ягоднинского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0F64BB">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sidR="004C55BC">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21</w:t>
      </w:r>
      <w:r w:rsidRPr="000F64BB">
        <w:rPr>
          <w:rFonts w:ascii="Arial" w:hAnsi="Arial" w:cs="Arial"/>
          <w:sz w:val="24"/>
          <w:szCs w:val="24"/>
        </w:rPr>
        <w:t xml:space="preserve">. </w:t>
      </w:r>
      <w:r w:rsidRPr="000F64BB">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23. Места для информирования заявителей:</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1) оборудуются визуальной, текстовой информацией, размещаемой на информационном стенде;</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 оборудуются стульями и столами для возможности оформления документов;</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 xml:space="preserve"> В места для информирования должен быть обеспечен доступ граждан для </w:t>
      </w:r>
      <w:r w:rsidRPr="000F64BB">
        <w:rPr>
          <w:rFonts w:ascii="Arial" w:eastAsia="PMingLiU" w:hAnsi="Arial" w:cs="Arial"/>
          <w:bCs/>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25. Орган, предоставляющий муниципальную услугу, обеспечивает инвалидам:</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5) допуск сурдопереводчика и тифлосурдопереводчика;</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E91F47"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Default="00525A19" w:rsidP="00525A19">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3106B1">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3106B1">
        <w:rPr>
          <w:rFonts w:ascii="Arial" w:hAnsi="Arial" w:cs="Arial"/>
          <w:sz w:val="24"/>
          <w:szCs w:val="24"/>
        </w:rPr>
        <w:t>Ягоднинского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3106B1">
        <w:rPr>
          <w:rFonts w:ascii="Arial" w:hAnsi="Arial" w:cs="Arial"/>
          <w:sz w:val="24"/>
          <w:szCs w:val="24"/>
        </w:rPr>
        <w:t>Ягоднинского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3106B1">
        <w:rPr>
          <w:rFonts w:ascii="Arial" w:hAnsi="Arial" w:cs="Arial"/>
          <w:sz w:val="24"/>
          <w:szCs w:val="24"/>
        </w:rPr>
        <w:t>Ягоднинского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3106B1">
        <w:rPr>
          <w:rFonts w:ascii="Arial" w:hAnsi="Arial" w:cs="Arial"/>
          <w:b/>
          <w:sz w:val="24"/>
          <w:szCs w:val="24"/>
        </w:rPr>
        <w:t>Ягоднинского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3106B1">
        <w:rPr>
          <w:rFonts w:ascii="Arial" w:hAnsi="Arial" w:cs="Arial"/>
          <w:sz w:val="24"/>
          <w:szCs w:val="24"/>
        </w:rPr>
        <w:t>Ягоднинского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r w:rsidR="003106B1">
        <w:rPr>
          <w:rFonts w:ascii="Arial" w:hAnsi="Arial" w:cs="Arial"/>
          <w:sz w:val="24"/>
          <w:szCs w:val="24"/>
        </w:rPr>
        <w:t>Ягоднинского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3106B1">
        <w:rPr>
          <w:rFonts w:ascii="Arial" w:hAnsi="Arial" w:cs="Arial"/>
          <w:sz w:val="24"/>
          <w:szCs w:val="24"/>
        </w:rPr>
        <w:t>Ягоднинского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lastRenderedPageBreak/>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F64BB">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3106B1">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w:t>
      </w:r>
      <w:r w:rsidR="00C30736">
        <w:rPr>
          <w:rFonts w:ascii="Arial" w:hAnsi="Arial" w:cs="Arial"/>
          <w:sz w:val="24"/>
          <w:szCs w:val="24"/>
          <w:lang w:eastAsia="ar-SA"/>
        </w:rPr>
        <w:lastRenderedPageBreak/>
        <w:t xml:space="preserve">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w:t>
      </w:r>
      <w:r w:rsidRPr="00B65E13">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рассмотрения обращений граждан Российской Федерации». В </w:t>
      </w:r>
      <w:r w:rsidR="00C30736" w:rsidRPr="00FE6248">
        <w:rPr>
          <w:rFonts w:ascii="Arial" w:hAnsi="Arial" w:cs="Arial"/>
          <w:sz w:val="24"/>
          <w:szCs w:val="24"/>
        </w:rPr>
        <w:lastRenderedPageBreak/>
        <w:t>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 xml:space="preserve">Жалоба, поступившая в Администрацию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Pr="000F64BB">
        <w:rPr>
          <w:rFonts w:ascii="Arial" w:hAnsi="Arial" w:cs="Arial"/>
          <w:sz w:val="24"/>
          <w:szCs w:val="24"/>
        </w:rPr>
        <w:t>настоящ</w:t>
      </w:r>
      <w:r w:rsidR="00525A19" w:rsidRPr="000F64BB">
        <w:rPr>
          <w:rFonts w:ascii="Arial" w:hAnsi="Arial" w:cs="Arial"/>
          <w:sz w:val="24"/>
          <w:szCs w:val="24"/>
        </w:rPr>
        <w:t>его 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3106B1">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3106B1">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 xml:space="preserve">на </w:t>
      </w:r>
      <w:r w:rsidR="00C30736" w:rsidRPr="005C5692">
        <w:rPr>
          <w:rFonts w:ascii="Arial" w:hAnsi="Arial" w:cs="Arial"/>
          <w:sz w:val="24"/>
          <w:szCs w:val="24"/>
        </w:rPr>
        <w:lastRenderedPageBreak/>
        <w:t>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3106B1">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3106B1">
        <w:rPr>
          <w:rFonts w:ascii="Times New Roman" w:hAnsi="Times New Roman"/>
          <w:sz w:val="24"/>
          <w:szCs w:val="24"/>
        </w:rPr>
        <w:t>Ягоднинского</w:t>
      </w:r>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571DCF"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571DCF"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571DCF"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571DCF" w:rsidP="000F357E">
      <w:pPr>
        <w:rPr>
          <w:rFonts w:ascii="Courier New" w:hAnsi="Courier New" w:cs="Courier New"/>
        </w:rPr>
      </w:pPr>
      <w:r>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571DCF" w:rsidP="000F357E">
      <w:pPr>
        <w:rPr>
          <w:rFonts w:ascii="Courier New" w:hAnsi="Courier New" w:cs="Courier New"/>
        </w:rPr>
      </w:pPr>
      <w:r>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525A19">
                  <w:pPr>
                    <w:jc w:val="center"/>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571DCF" w:rsidP="000F357E">
      <w:pPr>
        <w:rPr>
          <w:rFonts w:ascii="Courier New" w:hAnsi="Courier New" w:cs="Courier New"/>
        </w:rPr>
      </w:pPr>
      <w:r>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571DCF"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525A19">
                  <w:pPr>
                    <w:jc w:val="center"/>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w:r>
    </w:p>
    <w:p w:rsidR="000F357E" w:rsidRDefault="000F357E" w:rsidP="000F357E">
      <w:pPr>
        <w:rPr>
          <w:rFonts w:ascii="Courier New" w:hAnsi="Courier New" w:cs="Courier New"/>
        </w:rPr>
      </w:pPr>
    </w:p>
    <w:p w:rsidR="000F357E" w:rsidRDefault="00571DCF" w:rsidP="000F357E">
      <w:pPr>
        <w:rPr>
          <w:rFonts w:ascii="Courier New" w:hAnsi="Courier New" w:cs="Courier New"/>
        </w:rPr>
      </w:pPr>
      <w:r>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571DCF" w:rsidP="000F357E">
      <w:pPr>
        <w:rPr>
          <w:rFonts w:ascii="Courier New" w:hAnsi="Courier New" w:cs="Courier New"/>
        </w:rPr>
      </w:pPr>
      <w:r>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571DCF" w:rsidP="008C7079">
      <w:pPr>
        <w:rPr>
          <w:rFonts w:ascii="Courier New" w:hAnsi="Courier New" w:cs="Courier New"/>
        </w:rPr>
      </w:pPr>
      <w:r>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571DCF" w:rsidP="008C7079">
      <w:pPr>
        <w:rPr>
          <w:rFonts w:ascii="Courier New" w:hAnsi="Courier New" w:cs="Courier New"/>
        </w:rPr>
      </w:pPr>
      <w:r>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3106B1">
                    <w:rPr>
                      <w:rFonts w:ascii="Arial" w:hAnsi="Arial" w:cs="Arial"/>
                      <w:sz w:val="24"/>
                      <w:szCs w:val="24"/>
                    </w:rPr>
                    <w:t>Ягоднинского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571DCF" w:rsidP="000F357E">
      <w:pPr>
        <w:rPr>
          <w:rFonts w:ascii="Courier New" w:hAnsi="Courier New" w:cs="Courier New"/>
        </w:rPr>
      </w:pPr>
      <w:r>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0F357E" w:rsidRDefault="00571DCF" w:rsidP="000F357E">
      <w:pPr>
        <w:rPr>
          <w:rFonts w:ascii="Courier New" w:hAnsi="Courier New" w:cs="Courier New"/>
        </w:rPr>
      </w:pPr>
      <w:r>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DB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607B7"/>
    <w:rsid w:val="000F357E"/>
    <w:rsid w:val="000F64BB"/>
    <w:rsid w:val="00121C1A"/>
    <w:rsid w:val="00263C22"/>
    <w:rsid w:val="00270C4E"/>
    <w:rsid w:val="003106B1"/>
    <w:rsid w:val="00325BFE"/>
    <w:rsid w:val="0033111C"/>
    <w:rsid w:val="00334C61"/>
    <w:rsid w:val="003775D4"/>
    <w:rsid w:val="00383DD5"/>
    <w:rsid w:val="0039768E"/>
    <w:rsid w:val="004138B7"/>
    <w:rsid w:val="004A3E48"/>
    <w:rsid w:val="004B10AD"/>
    <w:rsid w:val="004B2577"/>
    <w:rsid w:val="004C55BC"/>
    <w:rsid w:val="004D4801"/>
    <w:rsid w:val="004E65F9"/>
    <w:rsid w:val="004F7E2D"/>
    <w:rsid w:val="00525A19"/>
    <w:rsid w:val="00571DCF"/>
    <w:rsid w:val="005F35B9"/>
    <w:rsid w:val="00603E28"/>
    <w:rsid w:val="006B225D"/>
    <w:rsid w:val="006C3A6F"/>
    <w:rsid w:val="007D051E"/>
    <w:rsid w:val="007F6052"/>
    <w:rsid w:val="008C7079"/>
    <w:rsid w:val="008D0F36"/>
    <w:rsid w:val="00912857"/>
    <w:rsid w:val="009141C1"/>
    <w:rsid w:val="00924748"/>
    <w:rsid w:val="00936E42"/>
    <w:rsid w:val="00963D2A"/>
    <w:rsid w:val="009D17FE"/>
    <w:rsid w:val="009D3511"/>
    <w:rsid w:val="00A307D5"/>
    <w:rsid w:val="00B2426A"/>
    <w:rsid w:val="00B42573"/>
    <w:rsid w:val="00B7222B"/>
    <w:rsid w:val="00C30736"/>
    <w:rsid w:val="00C66322"/>
    <w:rsid w:val="00C83F9E"/>
    <w:rsid w:val="00D34ED0"/>
    <w:rsid w:val="00D62C51"/>
    <w:rsid w:val="00D7084B"/>
    <w:rsid w:val="00DB758C"/>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6"/>
        <o:r id="V:Rule2" type="connector" idref="#Прямая со стрелкой 1"/>
        <o:r id="V:Rule3" type="connector" idref="#Прямая со стрелкой 4"/>
        <o:r id="V:Rule4" type="connector" idref="#Прямая со стрелкой 14"/>
        <o:r id="V:Rule5" type="connector" idref="#Прямая со стрелкой 15"/>
        <o:r id="V:Rule6" type="connector" idref="#Прямая со стрелкой 8"/>
      </o:rules>
    </o:shapelayout>
  </w:shapeDefaults>
  <w:decimalSymbol w:val=","/>
  <w:listSeparator w:val=";"/>
  <w15:docId w15:val="{E3EA35FC-984B-406E-BBAE-AD27D199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10062</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32</cp:revision>
  <dcterms:created xsi:type="dcterms:W3CDTF">2018-11-27T05:26:00Z</dcterms:created>
  <dcterms:modified xsi:type="dcterms:W3CDTF">2019-04-30T07:01:00Z</dcterms:modified>
</cp:coreProperties>
</file>